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2" w:rsidRPr="00D918C7" w:rsidRDefault="0091523B" w:rsidP="00D918C7">
      <w:pPr>
        <w:pStyle w:val="1"/>
        <w:rPr>
          <w:rFonts w:ascii="Times New Roman" w:hAnsi="Times New Roman" w:cs="Times New Roman"/>
          <w:i/>
          <w:color w:val="FF0000"/>
        </w:rPr>
      </w:pPr>
      <w:r w:rsidRPr="00D918C7">
        <w:rPr>
          <w:rFonts w:ascii="Times New Roman" w:hAnsi="Times New Roman" w:cs="Times New Roman"/>
          <w:i/>
          <w:color w:val="FF0000"/>
        </w:rPr>
        <w:t xml:space="preserve">Вопросы, </w:t>
      </w:r>
      <w:r w:rsidR="000C6932" w:rsidRPr="00D918C7">
        <w:rPr>
          <w:rFonts w:ascii="Times New Roman" w:hAnsi="Times New Roman" w:cs="Times New Roman"/>
          <w:i/>
          <w:color w:val="FF0000"/>
        </w:rPr>
        <w:t xml:space="preserve">возникающие при осуществлении деятельности  </w:t>
      </w:r>
      <w:r w:rsidR="00D918C7" w:rsidRPr="00D918C7">
        <w:rPr>
          <w:rFonts w:ascii="Times New Roman" w:hAnsi="Times New Roman" w:cs="Times New Roman"/>
          <w:i/>
          <w:color w:val="FF0000"/>
        </w:rPr>
        <w:t xml:space="preserve">Управления Федеральной службы государственной статистики по г. Санкт-Петербургу и Ленинградской области (Петростат) в области противодействия коррупции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1"/>
              <w:spacing w:before="0"/>
              <w:ind w:firstLine="743"/>
              <w:rPr>
                <w:bCs/>
              </w:rPr>
            </w:pPr>
            <w:proofErr w:type="gramStart"/>
            <w:r w:rsidRPr="00D40D35">
              <w:rPr>
                <w:bCs/>
              </w:rPr>
              <w:t xml:space="preserve">В соответствии с </w:t>
            </w:r>
            <w:hyperlink r:id="rId8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</w:t>
            </w:r>
            <w:proofErr w:type="gramEnd"/>
            <w:r w:rsidRPr="00D40D35">
              <w:rPr>
                <w:bCs/>
              </w:rPr>
              <w:t xml:space="preserve"> повлечет за собой конфликт интересов. </w:t>
            </w:r>
          </w:p>
          <w:p w:rsidR="0091523B" w:rsidRPr="003C05B3" w:rsidRDefault="003C05B3" w:rsidP="0097762D">
            <w:pPr>
              <w:pStyle w:val="1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="00D918C7"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9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1"/>
              <w:spacing w:before="0"/>
              <w:ind w:firstLine="743"/>
              <w:rPr>
                <w:b/>
              </w:rPr>
            </w:pPr>
            <w:proofErr w:type="gramStart"/>
            <w:r w:rsidRPr="00A308F8">
              <w:t xml:space="preserve">Согласно </w:t>
            </w:r>
            <w:hyperlink r:id="rId10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</w:t>
            </w:r>
            <w:proofErr w:type="gramEnd"/>
            <w:r w:rsidRPr="00A308F8">
              <w:t xml:space="preserve">, общества, субъекта Российской Федерации или Российской Федерации, </w:t>
            </w:r>
            <w:proofErr w:type="gramStart"/>
            <w:r w:rsidRPr="00A308F8">
              <w:t>способное</w:t>
            </w:r>
            <w:proofErr w:type="gramEnd"/>
            <w:r w:rsidRPr="00A308F8">
      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1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proofErr w:type="spellStart"/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="00D9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осударственного</w:t>
            </w:r>
            <w:proofErr w:type="spellEnd"/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7647" w:type="dxa"/>
          </w:tcPr>
          <w:p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Указом Президента Российской Федерации от  21 сентября 2009 г. № 1065.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запросе указываются данные, перечисленные 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</w:t>
            </w:r>
            <w:proofErr w:type="gramStart"/>
            <w:r w:rsidR="00D91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ешение принимается отдельно в отношении каждого гражданина или гражданского служащего 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другому (заместитель руководителя не курирует данный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Однако, при исполнении данным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="00D91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</w:t>
            </w:r>
            <w:proofErr w:type="gramEnd"/>
            <w:r w:rsidR="00D918C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  <w:proofErr w:type="gramEnd"/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proofErr w:type="spellStart"/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быть в случае, если федеральный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служащего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поступления информации о совершении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порядке наследования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 3.1 «Недвижимое имущество» или подразделе 3.2 «Транспортные средства» раздела 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>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методические рекомендации и другие инструктивно-методические 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отражается информация обо всех счетах, открытых в банках и иных кредитных организациях по состоянию на отчетную дату, вне зависимости от цели их открытия и использования, в том числе</w:t>
            </w:r>
            <w:r w:rsidR="00D9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  <w:proofErr w:type="gramEnd"/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="00D918C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</w:t>
            </w:r>
            <w:proofErr w:type="gramStart"/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="00D918C7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Pr="00D918C7" w:rsidRDefault="005012D7" w:rsidP="005012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918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918C7">
      <w:headerReference w:type="default" r:id="rId14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D9" w:rsidRDefault="00CA0ED9" w:rsidP="00DF783C">
      <w:pPr>
        <w:spacing w:after="0" w:line="240" w:lineRule="auto"/>
      </w:pPr>
      <w:r>
        <w:separator/>
      </w:r>
    </w:p>
  </w:endnote>
  <w:endnote w:type="continuationSeparator" w:id="0">
    <w:p w:rsidR="00CA0ED9" w:rsidRDefault="00CA0ED9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D9" w:rsidRDefault="00CA0ED9" w:rsidP="00DF783C">
      <w:pPr>
        <w:spacing w:after="0" w:line="240" w:lineRule="auto"/>
      </w:pPr>
      <w:r>
        <w:separator/>
      </w:r>
    </w:p>
  </w:footnote>
  <w:footnote w:type="continuationSeparator" w:id="0">
    <w:p w:rsidR="00CA0ED9" w:rsidRDefault="00CA0ED9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5D1B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83C"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8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FE"/>
    <w:rsid w:val="0009654E"/>
    <w:rsid w:val="000C4F12"/>
    <w:rsid w:val="000C693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038B7"/>
    <w:rsid w:val="0052138D"/>
    <w:rsid w:val="00522FCC"/>
    <w:rsid w:val="005A544A"/>
    <w:rsid w:val="005B74F9"/>
    <w:rsid w:val="005C73D2"/>
    <w:rsid w:val="005D1B2F"/>
    <w:rsid w:val="005D36C5"/>
    <w:rsid w:val="005D6B48"/>
    <w:rsid w:val="005E799B"/>
    <w:rsid w:val="00602184"/>
    <w:rsid w:val="00651C31"/>
    <w:rsid w:val="00674FCF"/>
    <w:rsid w:val="00696E8F"/>
    <w:rsid w:val="006B3B46"/>
    <w:rsid w:val="006B776C"/>
    <w:rsid w:val="006C118E"/>
    <w:rsid w:val="006C7F44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A0ED9"/>
    <w:rsid w:val="00CC3F07"/>
    <w:rsid w:val="00CC5280"/>
    <w:rsid w:val="00CF40F4"/>
    <w:rsid w:val="00D12ACB"/>
    <w:rsid w:val="00D276B7"/>
    <w:rsid w:val="00D62E81"/>
    <w:rsid w:val="00D71A27"/>
    <w:rsid w:val="00D918C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2F"/>
  </w:style>
  <w:style w:type="paragraph" w:styleId="1">
    <w:name w:val="heading 1"/>
    <w:basedOn w:val="a"/>
    <w:next w:val="a"/>
    <w:link w:val="10"/>
    <w:uiPriority w:val="9"/>
    <w:qFormat/>
    <w:rsid w:val="00D9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2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2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442916B343439CA4CD9A8643CBCC0BB328EBA528FDAF8D0W9C6H" TargetMode="External"/><Relationship Id="rId13" Type="http://schemas.openxmlformats.org/officeDocument/2006/relationships/hyperlink" Target="consultantplus://offline/ref=5E921163179EE014870B42F26709D68C6DA4EC15A2A8568127EEE25EE2C8786E918116EBcEJ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DA4EC15A2A8568127EEE25EE2C8786E918116EBcEJ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DD53EB19975792455607B950956DFBD3082221A063CF885191CD20A4DD40F30449F11C29334372FN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9DD53EB19975792455607B950956DFBD30812B1D083CF885191CD20A4DD40F30449F11C29335372F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2F9E34184E01376DF4464B7EAE2A4DCDEB418B43547A59941F8CFE6H7F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D168-F324-4EE7-8B38-E1EC581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Веретельник</cp:lastModifiedBy>
  <cp:revision>5</cp:revision>
  <cp:lastPrinted>2018-06-29T09:58:00Z</cp:lastPrinted>
  <dcterms:created xsi:type="dcterms:W3CDTF">2021-12-02T09:06:00Z</dcterms:created>
  <dcterms:modified xsi:type="dcterms:W3CDTF">2023-06-07T08:36:00Z</dcterms:modified>
</cp:coreProperties>
</file>